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05316576" w:rsidR="00354C5C" w:rsidRDefault="00354C5C" w:rsidP="006E5C6C">
      <w:r>
        <w:t xml:space="preserve">Příloha č. </w:t>
      </w:r>
      <w:r w:rsidR="00B87D91">
        <w:t>1</w:t>
      </w:r>
      <w:r>
        <w:t xml:space="preserve"> </w:t>
      </w:r>
      <w:r w:rsidR="00CD1EBC">
        <w:t>Zadávací dokumentace</w:t>
      </w:r>
    </w:p>
    <w:p w14:paraId="523FE11F" w14:textId="4434F8E0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CA77F9">
        <w:rPr>
          <w:b/>
          <w:color w:val="FF5200" w:themeColor="accent2"/>
          <w:sz w:val="36"/>
          <w:szCs w:val="36"/>
        </w:rPr>
        <w:t>„</w:t>
      </w:r>
      <w:r w:rsidR="00CA77F9" w:rsidRPr="00CA77F9">
        <w:rPr>
          <w:b/>
          <w:color w:val="FF5200" w:themeColor="accent2"/>
          <w:sz w:val="36"/>
          <w:szCs w:val="36"/>
        </w:rPr>
        <w:t>Železnice bez plastů</w:t>
      </w:r>
      <w:r w:rsidR="0031280B" w:rsidRPr="00CA77F9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121E7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121E7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26753/2023-SŽ-GŘ-O8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</w:pPr>
          <w:r>
            <w:t>Obsah</w:t>
          </w:r>
        </w:p>
        <w:p w14:paraId="1B88B8F4" w14:textId="10B92C9E" w:rsidR="00164CD3" w:rsidRDefault="00164CD3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 w:rsidRPr="00B67172">
            <w:rPr>
              <w:noProof/>
            </w:rPr>
            <w:t>Kapitola 1.</w:t>
          </w:r>
          <w:r>
            <w:rPr>
              <w:rFonts w:eastAsiaTheme="minorEastAsia"/>
              <w:noProof/>
              <w:sz w:val="22"/>
              <w:szCs w:val="22"/>
              <w:lang w:eastAsia="cs-CZ"/>
            </w:rPr>
            <w:tab/>
          </w:r>
          <w:r w:rsidRPr="00B67172">
            <w:rPr>
              <w:noProof/>
            </w:rPr>
            <w:t>Základní údaje k nabídce</w:t>
          </w:r>
          <w:r>
            <w:rPr>
              <w:noProof/>
              <w:webHidden/>
            </w:rPr>
            <w:tab/>
          </w:r>
          <w:r w:rsidR="00420372">
            <w:rPr>
              <w:noProof/>
              <w:webHidden/>
            </w:rPr>
            <w:t>2</w:t>
          </w:r>
        </w:p>
        <w:p w14:paraId="672C2CD3" w14:textId="155065E8" w:rsidR="00164CD3" w:rsidRDefault="00164CD3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 w:rsidRPr="00B67172">
            <w:rPr>
              <w:noProof/>
            </w:rPr>
            <w:t>Kapitola 2.</w:t>
          </w:r>
          <w:r>
            <w:rPr>
              <w:rFonts w:eastAsiaTheme="minorEastAsia"/>
              <w:noProof/>
              <w:sz w:val="22"/>
              <w:szCs w:val="22"/>
              <w:lang w:eastAsia="cs-CZ"/>
            </w:rPr>
            <w:tab/>
          </w:r>
          <w:r w:rsidRPr="00B67172">
            <w:rPr>
              <w:noProof/>
            </w:rPr>
            <w:t>Čestné prohlášení o splnění základní způsobilosti</w:t>
          </w:r>
          <w:r>
            <w:rPr>
              <w:noProof/>
              <w:webHidden/>
            </w:rPr>
            <w:tab/>
          </w:r>
          <w:r w:rsidR="00420372">
            <w:rPr>
              <w:noProof/>
              <w:webHidden/>
            </w:rPr>
            <w:t>3</w:t>
          </w:r>
        </w:p>
        <w:p w14:paraId="24C07FBC" w14:textId="45A1E285" w:rsidR="00164CD3" w:rsidRDefault="00164CD3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 w:rsidRPr="00B67172">
            <w:rPr>
              <w:noProof/>
            </w:rPr>
            <w:t>Kapitola 3.</w:t>
          </w:r>
          <w:r>
            <w:rPr>
              <w:rFonts w:eastAsiaTheme="minorEastAsia"/>
              <w:noProof/>
              <w:sz w:val="22"/>
              <w:szCs w:val="22"/>
              <w:lang w:eastAsia="cs-CZ"/>
            </w:rPr>
            <w:tab/>
          </w:r>
          <w:r w:rsidRPr="00B67172">
            <w:rPr>
              <w:noProof/>
            </w:rPr>
            <w:t>Čestné prohlášení účastníka o střetu zájmů</w:t>
          </w:r>
          <w:r>
            <w:rPr>
              <w:noProof/>
              <w:webHidden/>
            </w:rPr>
            <w:tab/>
          </w:r>
          <w:r w:rsidR="00420372">
            <w:rPr>
              <w:noProof/>
              <w:webHidden/>
            </w:rPr>
            <w:t>4</w:t>
          </w:r>
        </w:p>
        <w:p w14:paraId="07F1040D" w14:textId="7DB95228" w:rsidR="00164CD3" w:rsidRDefault="00164CD3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 w:rsidRPr="00B67172">
            <w:rPr>
              <w:noProof/>
            </w:rPr>
            <w:t>Kapitola 4.</w:t>
          </w:r>
          <w:r>
            <w:rPr>
              <w:rFonts w:eastAsiaTheme="minorEastAsia"/>
              <w:noProof/>
              <w:sz w:val="22"/>
              <w:szCs w:val="22"/>
              <w:lang w:eastAsia="cs-CZ"/>
            </w:rPr>
            <w:tab/>
          </w:r>
          <w:r w:rsidRPr="00B67172">
            <w:rPr>
              <w:noProof/>
            </w:rPr>
            <w:t>Čestné prohlášení účastníka k neuzavření zakázaných dohod</w:t>
          </w:r>
          <w:r>
            <w:rPr>
              <w:noProof/>
              <w:webHidden/>
            </w:rPr>
            <w:tab/>
          </w:r>
          <w:r w:rsidR="00420372">
            <w:rPr>
              <w:noProof/>
              <w:webHidden/>
            </w:rPr>
            <w:t>5</w:t>
          </w:r>
        </w:p>
        <w:p w14:paraId="44351567" w14:textId="5F4C73F9" w:rsidR="00164CD3" w:rsidRDefault="00164CD3" w:rsidP="000D2B01">
          <w:pPr>
            <w:pStyle w:val="Obsah2"/>
            <w:ind w:left="1320" w:hanging="1140"/>
            <w:rPr>
              <w:rFonts w:eastAsiaTheme="minorEastAsia"/>
              <w:noProof/>
              <w:sz w:val="22"/>
              <w:szCs w:val="22"/>
              <w:lang w:eastAsia="cs-CZ"/>
            </w:rPr>
          </w:pPr>
          <w:r w:rsidRPr="00B67172">
            <w:rPr>
              <w:rFonts w:eastAsia="Times New Roman"/>
              <w:noProof/>
            </w:rPr>
            <w:t>Kapitola 5.</w:t>
          </w:r>
          <w:r>
            <w:rPr>
              <w:rFonts w:eastAsiaTheme="minorEastAsia"/>
              <w:noProof/>
              <w:sz w:val="22"/>
              <w:szCs w:val="22"/>
              <w:lang w:eastAsia="cs-CZ"/>
            </w:rPr>
            <w:tab/>
          </w:r>
          <w:r w:rsidRPr="00B67172">
            <w:rPr>
              <w:noProof/>
            </w:rPr>
            <w:t>Čestné</w:t>
          </w:r>
          <w:r w:rsidRPr="00B67172">
            <w:rPr>
              <w:rFonts w:eastAsia="Times New Roman"/>
              <w:noProof/>
            </w:rPr>
            <w:t xml:space="preserve"> prohlášení účastníka o splnění podmínek v souvislosti se situací na Ukrajině</w:t>
          </w:r>
          <w:r>
            <w:rPr>
              <w:noProof/>
              <w:webHidden/>
            </w:rPr>
            <w:tab/>
          </w:r>
          <w:r w:rsidR="00420372">
            <w:rPr>
              <w:noProof/>
              <w:webHidden/>
            </w:rPr>
            <w:t>6</w:t>
          </w:r>
        </w:p>
        <w:p w14:paraId="4382F07A" w14:textId="1E9A0759" w:rsidR="00164CD3" w:rsidRDefault="00164CD3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 w:rsidRPr="00B67172">
            <w:rPr>
              <w:noProof/>
            </w:rPr>
            <w:t>Kapitola 6.</w:t>
          </w:r>
          <w:r>
            <w:rPr>
              <w:rFonts w:eastAsiaTheme="minorEastAsia"/>
              <w:noProof/>
              <w:sz w:val="22"/>
              <w:szCs w:val="22"/>
              <w:lang w:eastAsia="cs-CZ"/>
            </w:rPr>
            <w:tab/>
          </w:r>
          <w:r w:rsidRPr="00B67172">
            <w:rPr>
              <w:noProof/>
            </w:rPr>
            <w:t>Čestné prohlášení o splnění technické kvalifikace</w:t>
          </w:r>
          <w:r>
            <w:rPr>
              <w:noProof/>
              <w:webHidden/>
            </w:rPr>
            <w:tab/>
          </w:r>
          <w:r w:rsidR="00420372">
            <w:rPr>
              <w:noProof/>
              <w:webHidden/>
            </w:rPr>
            <w:t>7</w:t>
          </w:r>
        </w:p>
        <w:p w14:paraId="218BAFDF" w14:textId="410C522C" w:rsidR="00A93A74" w:rsidRDefault="00B67172"/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31073031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0191CDFC" w14:textId="5BDD4FAC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 w:rsidR="00CA77F9" w:rsidRPr="003B2F55">
        <w:t>Zadávací dokumentace</w:t>
      </w:r>
      <w:r w:rsidRPr="003B2F55">
        <w:t xml:space="preserve"> na veřejnou zakázku zadávanou</w:t>
      </w:r>
      <w:r w:rsidR="004C76E9" w:rsidRPr="003B2F55">
        <w:t xml:space="preserve"> jako </w:t>
      </w:r>
      <w:r w:rsidR="000128D4" w:rsidRPr="003B2F55">
        <w:rPr>
          <w:rFonts w:eastAsia="Times New Roman" w:cs="Times New Roman"/>
          <w:lang w:eastAsia="cs-CZ"/>
        </w:rPr>
        <w:t>veřejnou zakázku malého rozsahu</w:t>
      </w:r>
      <w:r w:rsidR="00CA77F9" w:rsidRPr="003B2F55">
        <w:rPr>
          <w:rFonts w:eastAsia="Times New Roman" w:cs="Times New Roman"/>
          <w:lang w:eastAsia="cs-CZ"/>
        </w:rPr>
        <w:t xml:space="preserve"> na koncesi</w:t>
      </w:r>
      <w:r w:rsidRPr="003B2F55">
        <w:t>, jsou pravdivé</w:t>
      </w:r>
      <w:r w:rsidR="009771C9" w:rsidRPr="003B2F55">
        <w:t>, úplné a odpovídají skutečnosti</w:t>
      </w:r>
      <w:r w:rsidRPr="003B2F55">
        <w:t>. Účastník si je vědom důsledků</w:t>
      </w:r>
      <w:r>
        <w:t xml:space="preserve"> záměrného uvedení nepravdivých údajů, které v rovině tohoto </w:t>
      </w:r>
      <w:r w:rsidR="003B2F55">
        <w:t>zadávacího</w:t>
      </w:r>
      <w:r w:rsidR="00626DB3">
        <w:t xml:space="preserve"> </w:t>
      </w:r>
      <w:r>
        <w:t xml:space="preserve">řízení </w:t>
      </w:r>
      <w:r w:rsidR="009771C9">
        <w:t>mohou vést až k</w:t>
      </w:r>
      <w:r>
        <w:t xml:space="preserve"> vyloučení Účastníka z</w:t>
      </w:r>
      <w:r w:rsidR="003B2F55">
        <w:t>e</w:t>
      </w:r>
      <w:r>
        <w:t xml:space="preserve"> </w:t>
      </w:r>
      <w:r w:rsidR="003B2F55">
        <w:t>zadávacího</w:t>
      </w:r>
      <w:r w:rsidR="00626DB3">
        <w:t xml:space="preserve"> </w:t>
      </w:r>
      <w:r>
        <w:t>řízení.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B67172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B67172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31073032"/>
      <w:r w:rsidRPr="006E5C6C">
        <w:t>Čestné prohlášení o splnění</w:t>
      </w:r>
      <w:r w:rsidRPr="006E5C6C">
        <w:br/>
        <w:t>základní způsobilosti</w:t>
      </w:r>
      <w:bookmarkEnd w:id="1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4ECE0672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3B2F55">
        <w:rPr>
          <w:szCs w:val="22"/>
          <w:lang w:eastAsia="cs-CZ"/>
        </w:rPr>
        <w:t>zadávacího</w:t>
      </w:r>
      <w:r w:rsidR="006E73DC">
        <w:rPr>
          <w:szCs w:val="22"/>
          <w:lang w:eastAsia="cs-CZ"/>
        </w:rPr>
        <w:t xml:space="preserve"> </w:t>
      </w:r>
      <w:r>
        <w:rPr>
          <w:szCs w:val="22"/>
          <w:lang w:eastAsia="cs-CZ"/>
        </w:rPr>
        <w:t xml:space="preserve">řízení pravomocně odsouzen pro trestný čin uvedený v </w:t>
      </w:r>
      <w:r w:rsidRPr="00B67172">
        <w:rPr>
          <w:szCs w:val="22"/>
          <w:lang w:eastAsia="cs-CZ"/>
        </w:rPr>
        <w:t>příloze č. 3</w:t>
      </w:r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A134A1">
      <w:pPr>
        <w:spacing w:before="360"/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31073033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0F35AC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7A882918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 </w:t>
      </w:r>
      <w:r w:rsidR="003B2F55">
        <w:rPr>
          <w:rFonts w:eastAsia="Calibri" w:cs="Times New Roman"/>
        </w:rPr>
        <w:t>zadávacím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6CD0A42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 </w:t>
      </w:r>
      <w:r w:rsidR="003B2F55">
        <w:rPr>
          <w:rFonts w:eastAsia="Calibri" w:cs="Times New Roman"/>
        </w:rPr>
        <w:t>zadávacím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3B2F55">
        <w:rPr>
          <w:rFonts w:eastAsia="Calibri" w:cs="Times New Roman"/>
        </w:rPr>
        <w:t>zadávacího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31073034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4" w:name="_Toc131073035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4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AB8BEFD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 xml:space="preserve">mci sdružení za účelem účasti v </w:t>
      </w:r>
      <w:r w:rsidR="003B2F55">
        <w:rPr>
          <w:rFonts w:eastAsia="Times New Roman" w:cs="Times New Roman"/>
          <w:lang w:eastAsia="cs-CZ"/>
        </w:rPr>
        <w:t>zadávacím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A0377A1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 </w:t>
      </w:r>
      <w:r w:rsidR="003B2F55">
        <w:rPr>
          <w:rFonts w:eastAsia="Times New Roman" w:cs="Times New Roman"/>
          <w:lang w:eastAsia="cs-CZ"/>
        </w:rPr>
        <w:t>zadávacím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2D5FC14B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 </w:t>
      </w:r>
      <w:r w:rsidR="003B2F55">
        <w:rPr>
          <w:rFonts w:eastAsia="Times New Roman" w:cs="Times New Roman"/>
          <w:lang w:eastAsia="cs-CZ"/>
        </w:rPr>
        <w:t>zadávacím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 w:rsidR="003B2F55">
        <w:rPr>
          <w:rFonts w:eastAsia="Calibri" w:cs="Times New Roman"/>
        </w:rPr>
        <w:t>zadávacího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5" w:name="_Toc131073036"/>
      <w:r w:rsidRPr="00E85D44">
        <w:t>Čestné prohlášení o splnění technické kvalifikace</w:t>
      </w:r>
      <w:bookmarkEnd w:id="5"/>
    </w:p>
    <w:p w14:paraId="71002640" w14:textId="4FE4155C" w:rsidR="00E85D44" w:rsidRDefault="006E73DC" w:rsidP="00A134A1">
      <w:pPr>
        <w:spacing w:before="36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zahájením </w:t>
      </w:r>
      <w:r w:rsidR="003B2F55">
        <w:rPr>
          <w:rFonts w:eastAsia="Times New Roman" w:cs="Times New Roman"/>
          <w:lang w:eastAsia="cs-CZ"/>
        </w:rPr>
        <w:t>zadávacího</w:t>
      </w:r>
      <w:r w:rsidR="00A63D48">
        <w:rPr>
          <w:rFonts w:eastAsia="Times New Roman" w:cs="Times New Roman"/>
          <w:lang w:eastAsia="cs-CZ"/>
        </w:rPr>
        <w:t xml:space="preserve"> </w:t>
      </w:r>
      <w:r w:rsidR="00E85D44">
        <w:rPr>
          <w:rFonts w:eastAsia="Times New Roman" w:cs="Times New Roman"/>
          <w:lang w:eastAsia="cs-CZ"/>
        </w:rPr>
        <w:t xml:space="preserve">řízení poskytoval alespoň </w:t>
      </w:r>
      <w:r w:rsidR="00963B9A" w:rsidRPr="00306D68">
        <w:rPr>
          <w:rFonts w:eastAsia="Times New Roman" w:cs="Times New Roman"/>
          <w:lang w:eastAsia="cs-CZ"/>
        </w:rPr>
        <w:t>1</w:t>
      </w:r>
      <w:r w:rsidR="00E85D44" w:rsidRPr="00306D68">
        <w:rPr>
          <w:rFonts w:eastAsia="Times New Roman" w:cs="Times New Roman"/>
          <w:lang w:eastAsia="cs-CZ"/>
        </w:rPr>
        <w:t xml:space="preserve"> významn</w:t>
      </w:r>
      <w:r w:rsidR="00963B9A" w:rsidRPr="00306D68">
        <w:rPr>
          <w:rFonts w:eastAsia="Times New Roman" w:cs="Times New Roman"/>
          <w:lang w:eastAsia="cs-CZ"/>
        </w:rPr>
        <w:t>ou</w:t>
      </w:r>
      <w:r w:rsidR="00E85D44" w:rsidRPr="00306D68">
        <w:rPr>
          <w:rFonts w:eastAsia="Times New Roman" w:cs="Times New Roman"/>
          <w:lang w:eastAsia="cs-CZ"/>
        </w:rPr>
        <w:t xml:space="preserve"> služ</w:t>
      </w:r>
      <w:r w:rsidR="00963B9A" w:rsidRPr="00306D68">
        <w:rPr>
          <w:rFonts w:eastAsia="Times New Roman" w:cs="Times New Roman"/>
          <w:lang w:eastAsia="cs-CZ"/>
        </w:rPr>
        <w:t>bu</w:t>
      </w:r>
      <w:r w:rsidR="00E85D44">
        <w:rPr>
          <w:rFonts w:eastAsia="Times New Roman" w:cs="Times New Roman"/>
          <w:lang w:eastAsia="cs-CZ"/>
        </w:rPr>
        <w:t xml:space="preserve"> definovan</w:t>
      </w:r>
      <w:r w:rsidR="00963B9A">
        <w:rPr>
          <w:rFonts w:eastAsia="Times New Roman" w:cs="Times New Roman"/>
          <w:lang w:eastAsia="cs-CZ"/>
        </w:rPr>
        <w:t>ou</w:t>
      </w:r>
      <w:r w:rsidR="00E85D44">
        <w:rPr>
          <w:rFonts w:eastAsia="Times New Roman" w:cs="Times New Roman"/>
          <w:lang w:eastAsia="cs-CZ"/>
        </w:rPr>
        <w:t xml:space="preserve"> v čl. </w:t>
      </w:r>
      <w:r w:rsidR="00963B9A">
        <w:rPr>
          <w:rFonts w:eastAsia="Times New Roman" w:cs="Times New Roman"/>
          <w:lang w:eastAsia="cs-CZ"/>
        </w:rPr>
        <w:t>9.5</w:t>
      </w:r>
      <w:r w:rsidR="003F54EE">
        <w:rPr>
          <w:rFonts w:eastAsia="Times New Roman" w:cs="Times New Roman"/>
          <w:lang w:eastAsia="cs-CZ"/>
        </w:rPr>
        <w:t>.1</w:t>
      </w:r>
      <w:r w:rsidR="00E85D44">
        <w:rPr>
          <w:rFonts w:eastAsia="Times New Roman" w:cs="Times New Roman"/>
          <w:lang w:eastAsia="cs-CZ"/>
        </w:rPr>
        <w:t xml:space="preserve"> </w:t>
      </w:r>
      <w:r w:rsidR="00963B9A">
        <w:rPr>
          <w:rFonts w:eastAsia="Times New Roman" w:cs="Times New Roman"/>
          <w:lang w:eastAsia="cs-CZ"/>
        </w:rPr>
        <w:t>Zadávací dokumentace</w:t>
      </w:r>
      <w:r w:rsidR="003F54EE">
        <w:rPr>
          <w:rFonts w:eastAsia="Times New Roman" w:cs="Times New Roman"/>
          <w:lang w:eastAsia="cs-CZ"/>
        </w:rPr>
        <w:t xml:space="preserve"> spočívající v zajištění a provozování alespoň 5 veřejně přístupných automatů na stáčenou filtrovanou vodu</w:t>
      </w:r>
      <w:r w:rsidR="00E85D44">
        <w:rPr>
          <w:rFonts w:eastAsia="Times New Roman" w:cs="Times New Roman"/>
          <w:lang w:eastAsia="cs-CZ"/>
        </w:rPr>
        <w:t xml:space="preserve"> </w:t>
      </w:r>
      <w:r w:rsidR="00B67172">
        <w:rPr>
          <w:rFonts w:eastAsia="Times New Roman" w:cs="Times New Roman"/>
          <w:lang w:eastAsia="cs-CZ"/>
        </w:rPr>
        <w:t>minimálně po dobu 1 roku, případně poskytoval vícero významných služeb</w:t>
      </w:r>
      <w:r w:rsidR="00B67172" w:rsidRPr="00F52134">
        <w:t xml:space="preserve">, jejichž předmětem bylo v souhrnu </w:t>
      </w:r>
      <w:r w:rsidR="00B67172">
        <w:rPr>
          <w:rFonts w:eastAsia="Verdana" w:cs="Times New Roman"/>
        </w:rPr>
        <w:t>zajištění,</w:t>
      </w:r>
      <w:r w:rsidR="00B67172">
        <w:rPr>
          <w:rFonts w:eastAsia="Verdana" w:cs="Times New Roman"/>
        </w:rPr>
        <w:t> </w:t>
      </w:r>
      <w:r w:rsidR="00B67172" w:rsidRPr="00E35895">
        <w:rPr>
          <w:rFonts w:eastAsia="Verdana" w:cs="Times New Roman"/>
        </w:rPr>
        <w:t>instalace</w:t>
      </w:r>
      <w:r w:rsidR="00B67172">
        <w:rPr>
          <w:rFonts w:eastAsia="Verdana" w:cs="Times New Roman"/>
        </w:rPr>
        <w:t xml:space="preserve"> a následné provozování</w:t>
      </w:r>
      <w:r w:rsidR="00B67172" w:rsidRPr="00E35895">
        <w:rPr>
          <w:rFonts w:eastAsia="Verdana" w:cs="Times New Roman"/>
        </w:rPr>
        <w:t xml:space="preserve"> alespoň </w:t>
      </w:r>
      <w:r w:rsidR="00B67172">
        <w:rPr>
          <w:rFonts w:eastAsia="Verdana" w:cs="Times New Roman"/>
        </w:rPr>
        <w:t>5</w:t>
      </w:r>
      <w:r w:rsidR="00B67172" w:rsidRPr="00E35895">
        <w:rPr>
          <w:rFonts w:eastAsia="Verdana" w:cs="Times New Roman"/>
        </w:rPr>
        <w:t xml:space="preserve"> </w:t>
      </w:r>
      <w:r w:rsidR="00B67172">
        <w:rPr>
          <w:rFonts w:eastAsia="Times New Roman" w:cs="Times New Roman"/>
          <w:lang w:eastAsia="cs-CZ"/>
        </w:rPr>
        <w:t xml:space="preserve">veřejně přístupných automatů na stáčenou filtrovanou vodu </w:t>
      </w:r>
      <w:r w:rsidR="00B67172" w:rsidRPr="00F52134">
        <w:t xml:space="preserve">po dobu </w:t>
      </w:r>
      <w:r w:rsidR="00B67172">
        <w:t>1</w:t>
      </w:r>
      <w:r w:rsidR="00B67172" w:rsidRPr="00F52134">
        <w:t xml:space="preserve"> roku.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0F9BEB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2D6456F6" w:rsidR="00E85D44" w:rsidRPr="00B67172" w:rsidRDefault="00B67172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B67172">
              <w:rPr>
                <w:b/>
              </w:rPr>
              <w:t>Celkový počet provozovaných automatů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A3FDAE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(datum od-do, v rámci 3 kalendářních let nazpět před zahájením </w:t>
            </w:r>
            <w:r w:rsidR="003B2F55">
              <w:rPr>
                <w:rFonts w:eastAsia="Times New Roman" w:cs="Times New Roman"/>
                <w:spacing w:val="-6"/>
                <w:lang w:eastAsia="cs-CZ"/>
              </w:rPr>
              <w:t>zadávacího</w:t>
            </w:r>
            <w:r w:rsidR="00A63D48">
              <w:rPr>
                <w:rFonts w:eastAsia="Times New Roman" w:cs="Times New Roman"/>
                <w:spacing w:val="-6"/>
                <w:lang w:eastAsia="cs-CZ"/>
              </w:rPr>
              <w:t xml:space="preserve"> </w:t>
            </w:r>
            <w:r>
              <w:rPr>
                <w:rFonts w:eastAsia="Times New Roman" w:cs="Times New Roman"/>
                <w:spacing w:val="-6"/>
                <w:lang w:eastAsia="cs-CZ"/>
              </w:rPr>
              <w:t>řízení)</w:t>
            </w:r>
          </w:p>
        </w:tc>
      </w:tr>
      <w:tr w:rsidR="00E85D44" w14:paraId="06926E11" w14:textId="77777777" w:rsidTr="003F54EE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B67172" w14:paraId="3A950BEA" w14:textId="77777777" w:rsidTr="003F54EE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190FC69F" w14:textId="77777777" w:rsidR="00B67172" w:rsidRDefault="00B67172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D438C2B" w14:textId="77777777" w:rsidR="00B67172" w:rsidRDefault="00B67172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3650F41" w14:textId="77777777" w:rsidR="00B67172" w:rsidRDefault="00B67172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7073551" w14:textId="77777777" w:rsidR="00B67172" w:rsidRDefault="00B67172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B67172" w14:paraId="0B19D6EC" w14:textId="77777777" w:rsidTr="003F54EE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C9C95EF" w14:textId="77777777" w:rsidR="00B67172" w:rsidRDefault="00B67172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E30AE72" w14:textId="77777777" w:rsidR="00B67172" w:rsidRDefault="00B67172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CA0FCDD" w14:textId="77777777" w:rsidR="00B67172" w:rsidRDefault="00B67172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711A5FE" w14:textId="77777777" w:rsidR="00B67172" w:rsidRDefault="00B67172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B67172" w14:paraId="412B2512" w14:textId="77777777" w:rsidTr="003F54EE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7A9FCF6B" w14:textId="77777777" w:rsidR="00B67172" w:rsidRDefault="00B67172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FE52299" w14:textId="77777777" w:rsidR="00B67172" w:rsidRDefault="00B67172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46D229E" w14:textId="77777777" w:rsidR="00B67172" w:rsidRDefault="00B67172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9D5FBD7" w14:textId="77777777" w:rsidR="00B67172" w:rsidRDefault="00B67172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B67172" w14:paraId="0C2C619F" w14:textId="77777777" w:rsidTr="003F54E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7B27C2CE" w14:textId="77777777" w:rsidR="00B67172" w:rsidRDefault="00B67172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F6946E8" w14:textId="77777777" w:rsidR="00B67172" w:rsidRDefault="00B67172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4D205AD" w14:textId="77777777" w:rsidR="00B67172" w:rsidRDefault="00B67172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8309E0E" w14:textId="77777777" w:rsidR="00B67172" w:rsidRDefault="00B67172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2215E86A" w14:textId="445311E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1E2B1DF" w14:textId="30CE8185" w:rsidR="00E0039B" w:rsidRDefault="00E0039B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D4B860F" w14:textId="5562D6DF" w:rsidR="00E0039B" w:rsidRDefault="00E0039B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BDA18BB" w14:textId="08F3911C" w:rsidR="00E0039B" w:rsidRDefault="00E0039B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312841E" w14:textId="78631510" w:rsidR="00E0039B" w:rsidRDefault="00E0039B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C2C006D" w14:textId="0F191883" w:rsidR="00E0039B" w:rsidRDefault="00E0039B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0CE14EF" w14:textId="0D05E946" w:rsidR="00E0039B" w:rsidRDefault="00E0039B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6D2CABE" w14:textId="4FB8AA39" w:rsidR="00E0039B" w:rsidRDefault="00E0039B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A672651" w14:textId="6235FAEB" w:rsidR="00E0039B" w:rsidRDefault="00E0039B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BE7EF33" w14:textId="1BD04B99" w:rsidR="00E0039B" w:rsidRDefault="00E0039B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0F0FEC8" w14:textId="586AFC19" w:rsidR="00E0039B" w:rsidRDefault="00E0039B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B5622D3" w14:textId="5282C707" w:rsidR="00E0039B" w:rsidRDefault="00E0039B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E1A313B" w14:textId="4DDF8E88" w:rsidR="00E0039B" w:rsidRDefault="00E0039B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46BD90A" w14:textId="0872221D" w:rsidR="00E0039B" w:rsidRDefault="00E0039B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D935EF8" w14:textId="39AF1EEB" w:rsidR="00E0039B" w:rsidRDefault="00E0039B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E41FA83" w14:textId="14341E9A" w:rsidR="00E0039B" w:rsidRDefault="00E0039B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E86B776" w14:textId="01390895" w:rsidR="00E0039B" w:rsidRDefault="00E0039B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40AE006" w14:textId="3040F9E2" w:rsidR="00E0039B" w:rsidRDefault="00E0039B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7BF1ED0" w14:textId="0A0DE599" w:rsidR="00E0039B" w:rsidRDefault="00E0039B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22DDA13" w14:textId="4413ED49" w:rsidR="00E0039B" w:rsidRDefault="00E0039B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B82CFF4" w14:textId="74709396" w:rsidR="00E0039B" w:rsidRDefault="00E0039B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DCCCC34" w14:textId="09727BB5" w:rsidR="00E0039B" w:rsidRDefault="00E0039B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  <w:bookmarkStart w:id="6" w:name="_GoBack"/>
      <w:bookmarkEnd w:id="6"/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4"/>
      <w:footerReference w:type="first" r:id="rId15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D13DA2" w16cex:dateUtc="2023-03-31T09:08:00Z"/>
  <w16cex:commentExtensible w16cex:durableId="27CFE865" w16cex:dateUtc="2023-03-30T08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A397978" w16cid:durableId="27D13DA2"/>
  <w16cid:commentId w16cid:paraId="0F983669" w16cid:durableId="27CFE86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35BFD2D5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67172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7172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15DCF6A0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6717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7172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5E1C"/>
    <w:rsid w:val="000D2B01"/>
    <w:rsid w:val="000E23A7"/>
    <w:rsid w:val="000F35AC"/>
    <w:rsid w:val="000F7070"/>
    <w:rsid w:val="0010693F"/>
    <w:rsid w:val="00114472"/>
    <w:rsid w:val="00121E7F"/>
    <w:rsid w:val="001550BC"/>
    <w:rsid w:val="001605B9"/>
    <w:rsid w:val="00164CD3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06D68"/>
    <w:rsid w:val="0031030C"/>
    <w:rsid w:val="0031280B"/>
    <w:rsid w:val="00321D98"/>
    <w:rsid w:val="003221F2"/>
    <w:rsid w:val="00341DCF"/>
    <w:rsid w:val="00354C5C"/>
    <w:rsid w:val="00357BC6"/>
    <w:rsid w:val="0036634F"/>
    <w:rsid w:val="003956C6"/>
    <w:rsid w:val="003B2F55"/>
    <w:rsid w:val="003B596F"/>
    <w:rsid w:val="003F54EE"/>
    <w:rsid w:val="00420372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B4EEC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3B9A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6717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A77F9"/>
    <w:rsid w:val="00CD1EBC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0039B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B5E1C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7003519-A01F-4D3E-9417-41E980E8F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111</TotalTime>
  <Pages>8</Pages>
  <Words>1087</Words>
  <Characters>6414</Characters>
  <Application>Microsoft Office Word</Application>
  <DocSecurity>0</DocSecurity>
  <Lines>53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Burdová Nikola, Mgr. Bc.</cp:lastModifiedBy>
  <cp:revision>10</cp:revision>
  <cp:lastPrinted>2017-11-28T17:18:00Z</cp:lastPrinted>
  <dcterms:created xsi:type="dcterms:W3CDTF">2023-03-30T07:44:00Z</dcterms:created>
  <dcterms:modified xsi:type="dcterms:W3CDTF">2023-04-24T10:44:00Z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